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B14CA" w14:textId="2DA828AD" w:rsidR="00EA3589" w:rsidRPr="00C862B8" w:rsidRDefault="00EA3589" w:rsidP="00EA3589">
      <w:pPr>
        <w:tabs>
          <w:tab w:val="center" w:pos="4536"/>
          <w:tab w:val="right" w:pos="8280"/>
          <w:tab w:val="right" w:pos="9639"/>
        </w:tabs>
        <w:ind w:right="2"/>
        <w:rPr>
          <w:rFonts w:ascii="Arial" w:hAnsi="Arial" w:cs="Arial"/>
          <w:b/>
          <w:bCs/>
        </w:rPr>
      </w:pPr>
      <w:r w:rsidRPr="00C862B8">
        <w:rPr>
          <w:rFonts w:ascii="Arial" w:hAnsi="Arial" w:cs="Arial"/>
          <w:b/>
          <w:bCs/>
        </w:rPr>
        <w:t>3GPP TSG RAN WG1 #96bis</w:t>
      </w:r>
      <w:r w:rsidRPr="00C862B8">
        <w:rPr>
          <w:rFonts w:ascii="Arial" w:hAnsi="Arial" w:cs="Arial"/>
          <w:b/>
          <w:bCs/>
        </w:rPr>
        <w:tab/>
      </w:r>
      <w:r w:rsidRPr="00C862B8">
        <w:rPr>
          <w:rFonts w:ascii="Arial" w:hAnsi="Arial" w:cs="Arial"/>
          <w:b/>
          <w:bCs/>
        </w:rPr>
        <w:tab/>
      </w:r>
      <w:r w:rsidRPr="00C862B8">
        <w:rPr>
          <w:rFonts w:ascii="Arial" w:hAnsi="Arial" w:cs="Arial"/>
          <w:b/>
          <w:bCs/>
        </w:rPr>
        <w:tab/>
      </w:r>
      <w:r w:rsidR="006660A8">
        <w:rPr>
          <w:rFonts w:ascii="Arial" w:hAnsi="Arial" w:cs="Arial"/>
          <w:b/>
          <w:bCs/>
        </w:rPr>
        <w:t>R1-190497</w:t>
      </w:r>
      <w:r w:rsidR="006660A8">
        <w:rPr>
          <w:rFonts w:ascii="Arial" w:hAnsi="Arial" w:cs="Arial"/>
          <w:b/>
          <w:bCs/>
        </w:rPr>
        <w:t>6</w:t>
      </w:r>
      <w:bookmarkStart w:id="0" w:name="_GoBack"/>
      <w:bookmarkEnd w:id="0"/>
    </w:p>
    <w:p w14:paraId="0299756F" w14:textId="77777777" w:rsidR="00EA3589" w:rsidRPr="00C862B8" w:rsidRDefault="00EA3589" w:rsidP="00EA3589">
      <w:pPr>
        <w:tabs>
          <w:tab w:val="center" w:pos="4536"/>
          <w:tab w:val="right" w:pos="9072"/>
        </w:tabs>
        <w:rPr>
          <w:rFonts w:ascii="Arial" w:eastAsia="MS Mincho" w:hAnsi="Arial" w:cs="Arial"/>
          <w:b/>
          <w:bCs/>
          <w:lang w:eastAsia="ja-JP"/>
        </w:rPr>
      </w:pPr>
      <w:r w:rsidRPr="00C862B8">
        <w:rPr>
          <w:rFonts w:ascii="Arial" w:eastAsia="MS Mincho" w:hAnsi="Arial" w:cs="Arial"/>
          <w:b/>
          <w:bCs/>
          <w:lang w:eastAsia="ja-JP"/>
        </w:rPr>
        <w:t>Xi’an, China, 8</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 12</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April,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1EB8A34"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EA3589">
        <w:rPr>
          <w:sz w:val="22"/>
          <w:szCs w:val="22"/>
        </w:rPr>
        <w:t>3</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49C5D489"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2449EE" w:rsidRPr="002449EE">
        <w:rPr>
          <w:sz w:val="22"/>
          <w:szCs w:val="22"/>
        </w:rPr>
        <w:t xml:space="preserve">Considerations on NR V2X Synchronization </w:t>
      </w:r>
      <w:r w:rsidR="005D72DE">
        <w:rPr>
          <w:sz w:val="22"/>
          <w:szCs w:val="22"/>
        </w:rPr>
        <w:t>M</w:t>
      </w:r>
      <w:r w:rsidR="002449EE" w:rsidRPr="002449EE">
        <w:rPr>
          <w:sz w:val="22"/>
          <w:szCs w:val="22"/>
        </w:rPr>
        <w:t>echanism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7502866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F2277C">
        <w:rPr>
          <w:rFonts w:eastAsia="MS Mincho"/>
          <w:sz w:val="22"/>
          <w:szCs w:val="22"/>
          <w:lang w:eastAsia="ja-JP"/>
        </w:rPr>
        <w:t>Work</w:t>
      </w:r>
      <w:r w:rsidRPr="00A6576F">
        <w:rPr>
          <w:rFonts w:eastAsia="MS Mincho"/>
          <w:sz w:val="22"/>
          <w:szCs w:val="22"/>
          <w:lang w:eastAsia="ja-JP"/>
        </w:rPr>
        <w:t xml:space="preserve"> Item was approved in RAN#8</w:t>
      </w:r>
      <w:r w:rsidR="00F2277C">
        <w:rPr>
          <w:rFonts w:eastAsia="MS Mincho"/>
          <w:sz w:val="22"/>
          <w:szCs w:val="22"/>
          <w:lang w:eastAsia="ja-JP"/>
        </w:rPr>
        <w:t>3</w:t>
      </w:r>
      <w:r w:rsidRPr="00A6576F">
        <w:rPr>
          <w:rFonts w:eastAsia="MS Mincho"/>
          <w:sz w:val="22"/>
          <w:szCs w:val="22"/>
          <w:lang w:eastAsia="ja-JP"/>
        </w:rPr>
        <w:t xml:space="preserve">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05ADC3C8" w:rsidR="00A167DB" w:rsidRDefault="00A167DB" w:rsidP="004A311F">
      <w:pPr>
        <w:rPr>
          <w:rFonts w:eastAsia="MS Mincho"/>
          <w:sz w:val="22"/>
          <w:szCs w:val="22"/>
          <w:lang w:eastAsia="ja-JP"/>
        </w:rPr>
      </w:pPr>
      <w:r>
        <w:rPr>
          <w:rFonts w:eastAsia="MS Mincho"/>
          <w:sz w:val="22"/>
          <w:szCs w:val="22"/>
          <w:lang w:eastAsia="ja-JP"/>
        </w:rPr>
        <w:t>One fundamental problem NR V2X needs to resolve is how to design reliable and low latency sidelink. Among all the design topics</w:t>
      </w:r>
      <w:r w:rsidR="005233D3">
        <w:rPr>
          <w:rFonts w:eastAsia="MS Mincho"/>
          <w:sz w:val="22"/>
          <w:szCs w:val="22"/>
          <w:lang w:eastAsia="ja-JP"/>
        </w:rPr>
        <w:t xml:space="preserve"> in sidelink</w:t>
      </w:r>
      <w:r>
        <w:rPr>
          <w:rFonts w:eastAsia="MS Mincho"/>
          <w:sz w:val="22"/>
          <w:szCs w:val="22"/>
          <w:lang w:eastAsia="ja-JP"/>
        </w:rPr>
        <w:t xml:space="preserve">, synchronization is one of the most challenging one and it is also one of the goal for NR RE-16 V2X </w:t>
      </w:r>
      <w:r w:rsidR="001C1AF5">
        <w:rPr>
          <w:rFonts w:eastAsia="MS Mincho"/>
          <w:sz w:val="22"/>
          <w:szCs w:val="22"/>
          <w:lang w:eastAsia="ja-JP"/>
        </w:rPr>
        <w:t>W</w:t>
      </w:r>
      <w:r>
        <w:rPr>
          <w:rFonts w:eastAsia="MS Mincho"/>
          <w:sz w:val="22"/>
          <w:szCs w:val="22"/>
          <w:lang w:eastAsia="ja-JP"/>
        </w:rPr>
        <w:t>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44B49A3D" w14:textId="77777777" w:rsidR="00901104" w:rsidRPr="00775B16" w:rsidRDefault="00901104" w:rsidP="00901104">
            <w:pPr>
              <w:numPr>
                <w:ilvl w:val="0"/>
                <w:numId w:val="19"/>
              </w:numPr>
              <w:overflowPunct w:val="0"/>
              <w:autoSpaceDE w:val="0"/>
              <w:autoSpaceDN w:val="0"/>
              <w:adjustRightInd w:val="0"/>
              <w:spacing w:after="180"/>
              <w:jc w:val="both"/>
              <w:textAlignment w:val="baseline"/>
              <w:rPr>
                <w:sz w:val="22"/>
                <w:lang w:eastAsia="ko-KR"/>
              </w:rPr>
            </w:pPr>
            <w:r w:rsidRPr="00775B16">
              <w:rPr>
                <w:sz w:val="22"/>
                <w:lang w:eastAsia="ko-KR"/>
              </w:rPr>
              <w:t>Sidelink synchronization mechanism as per the study outcome [RAN1, RAN2]</w:t>
            </w:r>
          </w:p>
          <w:p w14:paraId="5F8DE79B" w14:textId="77777777" w:rsidR="00901104" w:rsidRPr="00775B16" w:rsidRDefault="00901104" w:rsidP="00901104">
            <w:pPr>
              <w:numPr>
                <w:ilvl w:val="1"/>
                <w:numId w:val="19"/>
              </w:numPr>
              <w:overflowPunct w:val="0"/>
              <w:autoSpaceDE w:val="0"/>
              <w:autoSpaceDN w:val="0"/>
              <w:adjustRightInd w:val="0"/>
              <w:spacing w:after="180"/>
              <w:jc w:val="both"/>
              <w:textAlignment w:val="baseline"/>
              <w:rPr>
                <w:sz w:val="22"/>
                <w:lang w:eastAsia="ko-KR"/>
              </w:rPr>
            </w:pPr>
            <w:r w:rsidRPr="00775B16">
              <w:rPr>
                <w:rFonts w:hint="eastAsia"/>
                <w:sz w:val="22"/>
                <w:lang w:eastAsia="ko-KR"/>
              </w:rPr>
              <w:t>Procedures selecting synchronization reference</w:t>
            </w:r>
          </w:p>
          <w:p w14:paraId="61FB1028" w14:textId="77777777" w:rsidR="00901104" w:rsidRPr="00775B16" w:rsidRDefault="00901104" w:rsidP="00901104">
            <w:pPr>
              <w:numPr>
                <w:ilvl w:val="1"/>
                <w:numId w:val="19"/>
              </w:numPr>
              <w:overflowPunct w:val="0"/>
              <w:autoSpaceDE w:val="0"/>
              <w:autoSpaceDN w:val="0"/>
              <w:adjustRightInd w:val="0"/>
              <w:spacing w:after="180"/>
              <w:jc w:val="both"/>
              <w:textAlignment w:val="baseline"/>
              <w:rPr>
                <w:sz w:val="22"/>
                <w:lang w:eastAsia="ko-KR"/>
              </w:rPr>
            </w:pPr>
            <w:r w:rsidRPr="00775B16">
              <w:rPr>
                <w:sz w:val="22"/>
                <w:lang w:eastAsia="ko-KR"/>
              </w:rPr>
              <w:t>S-SSB and procedures to transmit and receive it, including when GNSS and gNB/eNB are unavailable</w:t>
            </w:r>
          </w:p>
          <w:p w14:paraId="778DE1A4" w14:textId="0EF59ADE" w:rsidR="008042EB" w:rsidRPr="006D2C84" w:rsidRDefault="00901104" w:rsidP="004A311F">
            <w:pPr>
              <w:numPr>
                <w:ilvl w:val="1"/>
                <w:numId w:val="19"/>
              </w:numPr>
              <w:overflowPunct w:val="0"/>
              <w:autoSpaceDE w:val="0"/>
              <w:autoSpaceDN w:val="0"/>
              <w:adjustRightInd w:val="0"/>
              <w:spacing w:after="180"/>
              <w:jc w:val="both"/>
              <w:textAlignment w:val="baseline"/>
              <w:rPr>
                <w:lang w:eastAsia="ko-KR"/>
              </w:rPr>
            </w:pPr>
            <w:r w:rsidRPr="00775B16">
              <w:rPr>
                <w:sz w:val="22"/>
                <w:lang w:eastAsia="ko-KR"/>
              </w:rPr>
              <w:t xml:space="preserve">Use of RS for sidelink synchronization </w:t>
            </w:r>
            <w:r w:rsidRPr="00775B16">
              <w:rPr>
                <w:rFonts w:hint="eastAsia"/>
                <w:sz w:val="22"/>
                <w:lang w:eastAsia="ko-KR"/>
              </w:rPr>
              <w:t xml:space="preserve">if </w:t>
            </w:r>
            <w:r w:rsidRPr="00775B16">
              <w:rPr>
                <w:sz w:val="22"/>
                <w:lang w:eastAsia="ko-KR"/>
              </w:rPr>
              <w:t>specification impact is identified</w:t>
            </w:r>
          </w:p>
        </w:tc>
      </w:tr>
    </w:tbl>
    <w:p w14:paraId="3A0B9A9C" w14:textId="77777777" w:rsidR="00D414A8" w:rsidRPr="005D353D" w:rsidRDefault="00D414A8" w:rsidP="00D414A8">
      <w:pPr>
        <w:rPr>
          <w:rFonts w:eastAsia="MS Mincho"/>
          <w:sz w:val="22"/>
          <w:lang w:eastAsia="ja-JP"/>
        </w:rPr>
      </w:pPr>
    </w:p>
    <w:p w14:paraId="6A37258A" w14:textId="0C524865" w:rsidR="00D414A8" w:rsidRPr="005D353D" w:rsidRDefault="00D414A8" w:rsidP="00D414A8">
      <w:pPr>
        <w:rPr>
          <w:rFonts w:eastAsia="MS Mincho"/>
          <w:sz w:val="22"/>
          <w:lang w:eastAsia="ja-JP"/>
        </w:rPr>
      </w:pPr>
      <w:r w:rsidRPr="005D353D">
        <w:rPr>
          <w:rFonts w:eastAsia="MS Mincho"/>
          <w:sz w:val="22"/>
          <w:lang w:eastAsia="ja-JP"/>
        </w:rPr>
        <w:t xml:space="preserve">In RAN1#AH1 2019, agreement has been reached in terms of the </w:t>
      </w:r>
      <w:r w:rsidR="00BE08B3">
        <w:rPr>
          <w:rFonts w:eastAsia="MS Mincho"/>
          <w:sz w:val="22"/>
          <w:lang w:eastAsia="ja-JP"/>
        </w:rPr>
        <w:t>managing different priorities between different synchronization sources</w:t>
      </w:r>
      <w:r w:rsidRPr="005D353D">
        <w:rPr>
          <w:rFonts w:eastAsia="MS Mincho"/>
          <w:sz w:val="22"/>
          <w:lang w:eastAsia="ja-JP"/>
        </w:rPr>
        <w:t xml:space="preserve"> [</w:t>
      </w:r>
      <w:r>
        <w:rPr>
          <w:rFonts w:eastAsia="MS Mincho"/>
          <w:sz w:val="22"/>
          <w:lang w:eastAsia="ja-JP"/>
        </w:rPr>
        <w:t>5</w:t>
      </w:r>
      <w:r w:rsidRPr="005D353D">
        <w:rPr>
          <w:rFonts w:eastAsia="MS Mincho"/>
          <w:sz w:val="22"/>
          <w:lang w:eastAsia="ja-JP"/>
        </w:rPr>
        <w:t>]</w:t>
      </w:r>
    </w:p>
    <w:p w14:paraId="14FC9C79" w14:textId="25474F4E" w:rsidR="00D414A8" w:rsidRDefault="00D414A8"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D414A8" w14:paraId="0F016F4E" w14:textId="77777777" w:rsidTr="00D414A8">
        <w:tc>
          <w:tcPr>
            <w:tcW w:w="9855" w:type="dxa"/>
          </w:tcPr>
          <w:p w14:paraId="714BFC7B" w14:textId="77777777" w:rsidR="00D414A8" w:rsidRPr="00D414A8" w:rsidRDefault="00D414A8" w:rsidP="00D414A8">
            <w:pPr>
              <w:spacing w:after="120"/>
              <w:rPr>
                <w:sz w:val="22"/>
                <w:szCs w:val="20"/>
              </w:rPr>
            </w:pPr>
            <w:r w:rsidRPr="00D414A8">
              <w:rPr>
                <w:sz w:val="22"/>
                <w:szCs w:val="20"/>
                <w:highlight w:val="green"/>
              </w:rPr>
              <w:t>Agreements</w:t>
            </w:r>
            <w:r w:rsidRPr="00D414A8">
              <w:rPr>
                <w:sz w:val="22"/>
                <w:szCs w:val="20"/>
              </w:rPr>
              <w:t>:</w:t>
            </w:r>
          </w:p>
          <w:p w14:paraId="0B21E41C" w14:textId="77777777" w:rsidR="00D414A8" w:rsidRPr="00D414A8" w:rsidRDefault="00D414A8" w:rsidP="00D414A8">
            <w:pPr>
              <w:numPr>
                <w:ilvl w:val="0"/>
                <w:numId w:val="16"/>
              </w:numPr>
              <w:spacing w:after="120"/>
              <w:rPr>
                <w:sz w:val="22"/>
                <w:szCs w:val="20"/>
              </w:rPr>
            </w:pPr>
            <w:r w:rsidRPr="00D414A8">
              <w:rPr>
                <w:sz w:val="22"/>
                <w:szCs w:val="20"/>
              </w:rPr>
              <w:t>At least for single-carrier operation:</w:t>
            </w:r>
          </w:p>
          <w:p w14:paraId="2E38CF87" w14:textId="77777777" w:rsidR="00D414A8" w:rsidRPr="00D414A8" w:rsidRDefault="00D414A8" w:rsidP="00D414A8">
            <w:pPr>
              <w:numPr>
                <w:ilvl w:val="0"/>
                <w:numId w:val="17"/>
              </w:numPr>
              <w:spacing w:after="120"/>
              <w:rPr>
                <w:sz w:val="22"/>
                <w:szCs w:val="20"/>
              </w:rPr>
            </w:pPr>
            <w:r w:rsidRPr="00D414A8">
              <w:rPr>
                <w:rFonts w:hint="eastAsia"/>
                <w:sz w:val="22"/>
                <w:szCs w:val="20"/>
              </w:rPr>
              <w:t xml:space="preserve">For the SL synchronization procedure, </w:t>
            </w:r>
            <w:r w:rsidRPr="00D414A8">
              <w:rPr>
                <w:sz w:val="22"/>
                <w:szCs w:val="20"/>
              </w:rPr>
              <w:t>each</w:t>
            </w:r>
            <w:r w:rsidRPr="00D414A8">
              <w:rPr>
                <w:rFonts w:hint="eastAsia"/>
                <w:sz w:val="22"/>
                <w:szCs w:val="20"/>
              </w:rPr>
              <w:t xml:space="preserve"> type of synchronization </w:t>
            </w:r>
            <w:r w:rsidRPr="00D414A8">
              <w:rPr>
                <w:sz w:val="22"/>
                <w:szCs w:val="20"/>
              </w:rPr>
              <w:t xml:space="preserve">reference has a respective </w:t>
            </w:r>
            <w:r w:rsidRPr="00D414A8">
              <w:rPr>
                <w:rFonts w:hint="eastAsia"/>
                <w:sz w:val="22"/>
                <w:szCs w:val="20"/>
              </w:rPr>
              <w:t xml:space="preserve">sync </w:t>
            </w:r>
            <w:r w:rsidRPr="00D414A8">
              <w:rPr>
                <w:sz w:val="22"/>
                <w:szCs w:val="20"/>
              </w:rPr>
              <w:t>priority</w:t>
            </w:r>
            <w:r w:rsidRPr="00D414A8">
              <w:rPr>
                <w:rFonts w:hint="eastAsia"/>
                <w:sz w:val="22"/>
                <w:szCs w:val="20"/>
              </w:rPr>
              <w:t xml:space="preserve"> </w:t>
            </w:r>
          </w:p>
          <w:p w14:paraId="547E4136" w14:textId="77777777" w:rsidR="00D414A8" w:rsidRPr="00D414A8" w:rsidRDefault="00D414A8" w:rsidP="00D414A8">
            <w:pPr>
              <w:numPr>
                <w:ilvl w:val="1"/>
                <w:numId w:val="18"/>
              </w:numPr>
              <w:spacing w:after="120"/>
              <w:rPr>
                <w:sz w:val="22"/>
                <w:szCs w:val="20"/>
              </w:rPr>
            </w:pPr>
            <w:r w:rsidRPr="00D414A8">
              <w:rPr>
                <w:rFonts w:hint="eastAsia"/>
                <w:sz w:val="22"/>
                <w:szCs w:val="20"/>
              </w:rPr>
              <w:t>FFS the priority between eNB and gNB</w:t>
            </w:r>
            <w:r w:rsidRPr="00D414A8">
              <w:rPr>
                <w:sz w:val="22"/>
                <w:szCs w:val="20"/>
              </w:rPr>
              <w:t xml:space="preserve"> (if necessary)</w:t>
            </w:r>
          </w:p>
          <w:p w14:paraId="0A98A649" w14:textId="77777777" w:rsidR="00D414A8" w:rsidRPr="00D414A8" w:rsidRDefault="00D414A8" w:rsidP="00D414A8">
            <w:pPr>
              <w:numPr>
                <w:ilvl w:val="0"/>
                <w:numId w:val="17"/>
              </w:numPr>
              <w:spacing w:after="120"/>
              <w:rPr>
                <w:sz w:val="22"/>
                <w:szCs w:val="20"/>
              </w:rPr>
            </w:pPr>
            <w:r w:rsidRPr="00D414A8">
              <w:rPr>
                <w:rFonts w:hint="eastAsia"/>
                <w:sz w:val="22"/>
                <w:szCs w:val="20"/>
              </w:rPr>
              <w:t xml:space="preserve">For the SL synchronization procedure, among the </w:t>
            </w:r>
            <w:r w:rsidRPr="00D414A8">
              <w:rPr>
                <w:sz w:val="22"/>
                <w:szCs w:val="20"/>
              </w:rPr>
              <w:t>available</w:t>
            </w:r>
            <w:r w:rsidRPr="00D414A8">
              <w:rPr>
                <w:rFonts w:hint="eastAsia"/>
                <w:sz w:val="22"/>
                <w:szCs w:val="20"/>
              </w:rPr>
              <w:t xml:space="preserve"> references, a UE selects the </w:t>
            </w:r>
            <w:r w:rsidRPr="00D414A8">
              <w:rPr>
                <w:rFonts w:hint="eastAsia"/>
                <w:sz w:val="22"/>
                <w:szCs w:val="20"/>
              </w:rPr>
              <w:lastRenderedPageBreak/>
              <w:t xml:space="preserve">synchronization </w:t>
            </w:r>
            <w:r w:rsidRPr="00D414A8">
              <w:rPr>
                <w:sz w:val="22"/>
                <w:szCs w:val="20"/>
              </w:rPr>
              <w:t>reference</w:t>
            </w:r>
            <w:r w:rsidRPr="00D414A8">
              <w:rPr>
                <w:rFonts w:hint="eastAsia"/>
                <w:sz w:val="22"/>
                <w:szCs w:val="20"/>
              </w:rPr>
              <w:t xml:space="preserve"> with the highest priority as the reference </w:t>
            </w:r>
            <w:r w:rsidRPr="00D414A8">
              <w:rPr>
                <w:sz w:val="22"/>
                <w:szCs w:val="20"/>
              </w:rPr>
              <w:t>to derive its transmission timing</w:t>
            </w:r>
          </w:p>
          <w:p w14:paraId="1D30070D" w14:textId="77777777" w:rsidR="00D414A8" w:rsidRPr="00D414A8" w:rsidRDefault="00D414A8" w:rsidP="00D414A8">
            <w:pPr>
              <w:numPr>
                <w:ilvl w:val="1"/>
                <w:numId w:val="17"/>
              </w:numPr>
              <w:spacing w:after="120"/>
              <w:rPr>
                <w:sz w:val="22"/>
                <w:szCs w:val="20"/>
              </w:rPr>
            </w:pPr>
            <w:r w:rsidRPr="00D414A8">
              <w:rPr>
                <w:sz w:val="22"/>
                <w:szCs w:val="20"/>
              </w:rPr>
              <w:t>FFS other potential usage</w:t>
            </w:r>
          </w:p>
          <w:p w14:paraId="2CE602AD" w14:textId="6EAF633D" w:rsidR="00D414A8" w:rsidRPr="00D414A8" w:rsidRDefault="00D414A8" w:rsidP="004A311F">
            <w:pPr>
              <w:numPr>
                <w:ilvl w:val="1"/>
                <w:numId w:val="17"/>
              </w:numPr>
              <w:spacing w:after="120"/>
              <w:rPr>
                <w:szCs w:val="20"/>
              </w:rPr>
            </w:pPr>
            <w:r w:rsidRPr="00D414A8">
              <w:rPr>
                <w:sz w:val="22"/>
                <w:szCs w:val="20"/>
              </w:rPr>
              <w:t>FFS how to handle the case when there are two or more references of a same priority to be selected as the highest priority</w:t>
            </w:r>
          </w:p>
        </w:tc>
      </w:tr>
    </w:tbl>
    <w:p w14:paraId="3BBA1D55" w14:textId="77777777" w:rsidR="00D414A8" w:rsidRDefault="00D414A8" w:rsidP="004A311F">
      <w:pPr>
        <w:rPr>
          <w:rFonts w:eastAsia="MS Mincho"/>
          <w:sz w:val="22"/>
          <w:szCs w:val="22"/>
          <w:lang w:eastAsia="ja-JP"/>
        </w:rPr>
      </w:pPr>
    </w:p>
    <w:p w14:paraId="3A1C20CD" w14:textId="0FE3107F" w:rsidR="005233D3"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315265">
        <w:rPr>
          <w:rFonts w:eastAsia="MS Mincho"/>
          <w:sz w:val="22"/>
          <w:szCs w:val="22"/>
          <w:lang w:eastAsia="ja-JP"/>
        </w:rPr>
        <w:t>synchronization</w:t>
      </w:r>
      <w:r w:rsidR="005233D3">
        <w:rPr>
          <w:rFonts w:eastAsia="MS Mincho"/>
          <w:sz w:val="22"/>
          <w:szCs w:val="22"/>
          <w:lang w:eastAsia="ja-JP"/>
        </w:rPr>
        <w:t xml:space="preserve"> mechanism.</w:t>
      </w:r>
    </w:p>
    <w:p w14:paraId="650CB214" w14:textId="30D9A5F2" w:rsidR="009300E4" w:rsidRDefault="009300E4" w:rsidP="006F0C31">
      <w:pPr>
        <w:pStyle w:val="Heading1"/>
      </w:pPr>
      <w:r>
        <w:t>Challenges on Sidelink Synchronization Design for NR V2X</w:t>
      </w:r>
    </w:p>
    <w:p w14:paraId="10186BA3" w14:textId="13BEC189" w:rsidR="009300E4" w:rsidRDefault="009300E4" w:rsidP="00483897">
      <w:pPr>
        <w:rPr>
          <w:sz w:val="22"/>
        </w:rPr>
      </w:pPr>
      <w:r>
        <w:rPr>
          <w:sz w:val="22"/>
        </w:rPr>
        <w:t>NR V2X needs to support a wide range of deployment scenario</w:t>
      </w:r>
      <w:r w:rsidR="00306B7B">
        <w:rPr>
          <w:sz w:val="22"/>
        </w:rPr>
        <w:t>s</w:t>
      </w:r>
      <w:r>
        <w:rPr>
          <w:sz w:val="22"/>
        </w:rPr>
        <w:t xml:space="preserve"> including the following</w:t>
      </w:r>
    </w:p>
    <w:p w14:paraId="5E978EA8" w14:textId="77777777" w:rsidR="00663AF9" w:rsidRDefault="00663AF9" w:rsidP="00483897">
      <w:pPr>
        <w:rPr>
          <w:sz w:val="22"/>
        </w:rPr>
      </w:pPr>
    </w:p>
    <w:p w14:paraId="3837D5EF" w14:textId="78DFF031"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t>In coverage UE in licensed spectrum</w:t>
      </w:r>
    </w:p>
    <w:p w14:paraId="3ECFCACA" w14:textId="04160D49"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t>Out of coverage UE in licensed spectrum</w:t>
      </w:r>
    </w:p>
    <w:p w14:paraId="5ADB71DB" w14:textId="60384223" w:rsidR="00483897" w:rsidRPr="00E37B15" w:rsidRDefault="009300E4" w:rsidP="00B05753">
      <w:pPr>
        <w:pStyle w:val="ListParagraph"/>
        <w:numPr>
          <w:ilvl w:val="0"/>
          <w:numId w:val="14"/>
        </w:numPr>
        <w:rPr>
          <w:rFonts w:ascii="Times New Roman" w:hAnsi="Times New Roman"/>
        </w:rPr>
      </w:pPr>
      <w:r w:rsidRPr="00E37B15">
        <w:rPr>
          <w:rFonts w:ascii="Times New Roman" w:hAnsi="Times New Roman"/>
        </w:rPr>
        <w:t>UE in unlicensed spectrum</w:t>
      </w:r>
      <w:r w:rsidR="0034788B" w:rsidRPr="00E37B15">
        <w:rPr>
          <w:rFonts w:ascii="Times New Roman" w:hAnsi="Times New Roman"/>
        </w:rPr>
        <w:t xml:space="preserve"> </w:t>
      </w:r>
    </w:p>
    <w:p w14:paraId="518037CA" w14:textId="77777777" w:rsidR="00AE42F6" w:rsidRDefault="00AE42F6" w:rsidP="00483897">
      <w:pPr>
        <w:rPr>
          <w:sz w:val="22"/>
        </w:rPr>
      </w:pPr>
    </w:p>
    <w:p w14:paraId="2B83BF1D" w14:textId="724C82FA" w:rsidR="00B00FAB" w:rsidRDefault="00AE42F6" w:rsidP="00B00FAB">
      <w:pPr>
        <w:rPr>
          <w:rFonts w:eastAsia="MS Mincho"/>
          <w:sz w:val="22"/>
          <w:szCs w:val="22"/>
          <w:lang w:eastAsia="ja-JP"/>
        </w:rPr>
      </w:pPr>
      <w:r>
        <w:rPr>
          <w:sz w:val="22"/>
        </w:rPr>
        <w:t xml:space="preserve">The requirement of versatile deployment scenario </w:t>
      </w:r>
      <w:r w:rsidRPr="00AE42F6">
        <w:rPr>
          <w:sz w:val="22"/>
        </w:rPr>
        <w:t>necessitate</w:t>
      </w:r>
      <w:r>
        <w:rPr>
          <w:sz w:val="22"/>
        </w:rPr>
        <w:t xml:space="preserve">s the need to support multiple synchronization sources. </w:t>
      </w:r>
      <w:r w:rsidR="00B00FAB">
        <w:rPr>
          <w:rFonts w:eastAsia="MS Mincho"/>
          <w:sz w:val="22"/>
          <w:szCs w:val="22"/>
          <w:lang w:eastAsia="ja-JP"/>
        </w:rPr>
        <w:t xml:space="preserve">In RAN1 #94bis meeting, </w:t>
      </w:r>
      <w:r w:rsidR="00663AF9">
        <w:rPr>
          <w:rFonts w:eastAsia="MS Mincho"/>
          <w:sz w:val="22"/>
          <w:szCs w:val="22"/>
          <w:lang w:eastAsia="ja-JP"/>
        </w:rPr>
        <w:t>the following synchronization sources are agreed to be supported by NR V2X</w:t>
      </w:r>
      <w:r w:rsidR="00B00FAB">
        <w:rPr>
          <w:rFonts w:eastAsia="MS Mincho"/>
          <w:sz w:val="22"/>
          <w:szCs w:val="22"/>
          <w:lang w:eastAsia="ja-JP"/>
        </w:rPr>
        <w:t xml:space="preserve"> [4]</w:t>
      </w:r>
    </w:p>
    <w:p w14:paraId="7C49A6D4" w14:textId="30921684" w:rsidR="00663AF9" w:rsidRDefault="00663AF9" w:rsidP="00B00FAB">
      <w:pPr>
        <w:rPr>
          <w:sz w:val="22"/>
        </w:rPr>
      </w:pPr>
    </w:p>
    <w:tbl>
      <w:tblPr>
        <w:tblStyle w:val="TableGrid"/>
        <w:tblW w:w="0" w:type="auto"/>
        <w:tblLook w:val="04A0" w:firstRow="1" w:lastRow="0" w:firstColumn="1" w:lastColumn="0" w:noHBand="0" w:noVBand="1"/>
      </w:tblPr>
      <w:tblGrid>
        <w:gridCol w:w="9855"/>
      </w:tblGrid>
      <w:tr w:rsidR="003D4188" w14:paraId="2F59C7E2" w14:textId="77777777" w:rsidTr="003D4188">
        <w:tc>
          <w:tcPr>
            <w:tcW w:w="9855" w:type="dxa"/>
          </w:tcPr>
          <w:p w14:paraId="579FE959" w14:textId="77777777" w:rsidR="003D4188" w:rsidRDefault="003D4188" w:rsidP="003D4188">
            <w:pPr>
              <w:rPr>
                <w:lang w:eastAsia="x-none"/>
              </w:rPr>
            </w:pPr>
            <w:r w:rsidRPr="00714744">
              <w:rPr>
                <w:highlight w:val="green"/>
                <w:lang w:eastAsia="x-none"/>
              </w:rPr>
              <w:t>Agreements</w:t>
            </w:r>
            <w:r>
              <w:rPr>
                <w:lang w:eastAsia="x-none"/>
              </w:rPr>
              <w:t>:</w:t>
            </w:r>
          </w:p>
          <w:p w14:paraId="2CC7EA27" w14:textId="77777777" w:rsidR="003D4188" w:rsidRPr="00714744" w:rsidRDefault="003D4188" w:rsidP="003D4188">
            <w:pPr>
              <w:pStyle w:val="bullet1"/>
            </w:pPr>
            <w:r w:rsidRPr="00714744">
              <w:t xml:space="preserve">At least GNSS, gNB, </w:t>
            </w:r>
            <w:r w:rsidRPr="00714744">
              <w:rPr>
                <w:rFonts w:hint="eastAsia"/>
              </w:rPr>
              <w:t xml:space="preserve">NR </w:t>
            </w:r>
            <w:r w:rsidRPr="00714744">
              <w:t>UE</w:t>
            </w:r>
            <w:r w:rsidRPr="00714744">
              <w:rPr>
                <w:rFonts w:eastAsia="DengXian" w:hint="eastAsia"/>
                <w:lang w:eastAsia="zh-CN"/>
              </w:rPr>
              <w:t xml:space="preserve">, </w:t>
            </w:r>
            <w:r w:rsidRPr="00714744">
              <w:rPr>
                <w:rFonts w:eastAsia="DengXian"/>
                <w:lang w:eastAsia="zh-CN"/>
              </w:rPr>
              <w:t xml:space="preserve">and </w:t>
            </w:r>
            <w:r w:rsidRPr="00714744">
              <w:rPr>
                <w:rFonts w:eastAsia="DengXian"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14:paraId="0C6EA673" w14:textId="77777777" w:rsidR="003D4188" w:rsidRPr="00714744" w:rsidRDefault="003D4188" w:rsidP="003D4188">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14:paraId="103DD67A" w14:textId="11118170" w:rsidR="003D4188" w:rsidRPr="003D4188" w:rsidRDefault="003D4188" w:rsidP="00B00FAB">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DengXian" w:hint="eastAsia"/>
                <w:lang w:eastAsia="zh-CN"/>
              </w:rPr>
              <w:t xml:space="preserve">NR V2X </w:t>
            </w:r>
            <w:r w:rsidRPr="00714744">
              <w:rPr>
                <w:rFonts w:hint="eastAsia"/>
                <w:lang w:eastAsia="zh-CN"/>
              </w:rPr>
              <w:t>UE capability consideration</w:t>
            </w:r>
          </w:p>
        </w:tc>
      </w:tr>
    </w:tbl>
    <w:p w14:paraId="6F769766" w14:textId="77777777" w:rsidR="00663AF9" w:rsidRPr="00B00FAB" w:rsidRDefault="00663AF9" w:rsidP="00B00FAB">
      <w:pPr>
        <w:rPr>
          <w:sz w:val="22"/>
        </w:rPr>
      </w:pPr>
    </w:p>
    <w:p w14:paraId="50E0E185" w14:textId="77777777" w:rsidR="00B00FAB" w:rsidRDefault="00B00FAB" w:rsidP="00483897">
      <w:pPr>
        <w:rPr>
          <w:sz w:val="22"/>
        </w:rPr>
      </w:pPr>
    </w:p>
    <w:p w14:paraId="629DF748" w14:textId="3B60542A" w:rsidR="003D4188" w:rsidRDefault="003D4188" w:rsidP="00483897">
      <w:pPr>
        <w:rPr>
          <w:sz w:val="22"/>
        </w:rPr>
      </w:pPr>
      <w:r>
        <w:rPr>
          <w:sz w:val="22"/>
        </w:rPr>
        <w:t>The fundamental problem of sidelink communication is that two devices cannot talk to each other unless they are synchronized to the same group/source. Figure 1 illustrates this problem</w:t>
      </w:r>
    </w:p>
    <w:p w14:paraId="7989AE30" w14:textId="31EC6CF6" w:rsidR="003E761B" w:rsidRDefault="003E761B" w:rsidP="00483897">
      <w:pPr>
        <w:rPr>
          <w:sz w:val="22"/>
        </w:rPr>
      </w:pPr>
    </w:p>
    <w:p w14:paraId="06EBF51B" w14:textId="77777777" w:rsidR="005121E6" w:rsidRDefault="003E761B" w:rsidP="005121E6">
      <w:pPr>
        <w:keepNext/>
      </w:pPr>
      <w:r w:rsidRPr="003E761B">
        <w:rPr>
          <w:noProof/>
          <w:sz w:val="22"/>
        </w:rPr>
        <w:drawing>
          <wp:inline distT="0" distB="0" distL="0" distR="0" wp14:anchorId="294FC17E" wp14:editId="4A50E70E">
            <wp:extent cx="6120765" cy="207772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77720"/>
                    </a:xfrm>
                    <a:prstGeom prst="rect">
                      <a:avLst/>
                    </a:prstGeom>
                  </pic:spPr>
                </pic:pic>
              </a:graphicData>
            </a:graphic>
          </wp:inline>
        </w:drawing>
      </w:r>
    </w:p>
    <w:p w14:paraId="561CE737" w14:textId="79B89D4F" w:rsidR="003E761B"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0F7E37">
        <w:rPr>
          <w:noProof/>
          <w:sz w:val="22"/>
        </w:rPr>
        <w:t>1</w:t>
      </w:r>
      <w:r w:rsidRPr="005121E6">
        <w:rPr>
          <w:sz w:val="22"/>
        </w:rPr>
        <w:fldChar w:fldCharType="end"/>
      </w:r>
      <w:r>
        <w:rPr>
          <w:sz w:val="22"/>
        </w:rPr>
        <w:t xml:space="preserve"> Devices belongs to different synchronization group/source cannot communicate</w:t>
      </w:r>
    </w:p>
    <w:p w14:paraId="51538672" w14:textId="0173C824" w:rsidR="007F147F" w:rsidRDefault="00101FEF" w:rsidP="00101FEF">
      <w:pPr>
        <w:rPr>
          <w:sz w:val="22"/>
        </w:rPr>
      </w:pPr>
      <w:r>
        <w:rPr>
          <w:sz w:val="22"/>
        </w:rPr>
        <w:t xml:space="preserve">Naturally, to ensure that two UEs can talk to each other, </w:t>
      </w:r>
      <w:r w:rsidRPr="00101FEF">
        <w:rPr>
          <w:sz w:val="22"/>
        </w:rPr>
        <w:t xml:space="preserve">UE </w:t>
      </w:r>
      <w:r>
        <w:rPr>
          <w:sz w:val="22"/>
        </w:rPr>
        <w:t xml:space="preserve">needs to </w:t>
      </w:r>
      <w:r w:rsidRPr="00101FEF">
        <w:rPr>
          <w:sz w:val="22"/>
        </w:rPr>
        <w:t>find multiple sync source</w:t>
      </w:r>
      <w:r w:rsidR="00BF5EF5">
        <w:rPr>
          <w:sz w:val="22"/>
        </w:rPr>
        <w:t>s</w:t>
      </w:r>
      <w:r w:rsidRPr="00101FEF">
        <w:rPr>
          <w:sz w:val="22"/>
        </w:rPr>
        <w:t xml:space="preserve"> nearby</w:t>
      </w:r>
      <w:r w:rsidR="00D25459">
        <w:rPr>
          <w:sz w:val="22"/>
        </w:rPr>
        <w:t xml:space="preserve"> and </w:t>
      </w:r>
      <w:r w:rsidRPr="00101FEF">
        <w:rPr>
          <w:sz w:val="22"/>
        </w:rPr>
        <w:t>sync to them</w:t>
      </w:r>
      <w:r w:rsidR="00A74056">
        <w:rPr>
          <w:sz w:val="22"/>
        </w:rPr>
        <w:t xml:space="preserve"> by </w:t>
      </w:r>
      <w:r w:rsidRPr="00101FEF">
        <w:rPr>
          <w:sz w:val="22"/>
        </w:rPr>
        <w:t>maintain</w:t>
      </w:r>
      <w:r w:rsidR="00A74056">
        <w:rPr>
          <w:sz w:val="22"/>
        </w:rPr>
        <w:t>ing</w:t>
      </w:r>
      <w:r w:rsidRPr="00101FEF">
        <w:rPr>
          <w:sz w:val="22"/>
        </w:rPr>
        <w:t xml:space="preserve"> multiple timing</w:t>
      </w:r>
      <w:r w:rsidR="00D918C3">
        <w:rPr>
          <w:sz w:val="22"/>
        </w:rPr>
        <w:t xml:space="preserve">. UE also need to receive signal based on different timing in order </w:t>
      </w:r>
      <w:r w:rsidRPr="00101FEF">
        <w:rPr>
          <w:sz w:val="22"/>
        </w:rPr>
        <w:t>to decode safety message from all of the sources.</w:t>
      </w:r>
      <w:r w:rsidR="0015559A">
        <w:rPr>
          <w:sz w:val="22"/>
        </w:rPr>
        <w:t xml:space="preserve"> </w:t>
      </w:r>
      <w:r w:rsidR="00B2114B">
        <w:rPr>
          <w:sz w:val="22"/>
        </w:rPr>
        <w:t xml:space="preserve">More difficultly, UE may need to support multiple transmit timing </w:t>
      </w:r>
      <w:r w:rsidR="00380311">
        <w:rPr>
          <w:sz w:val="22"/>
        </w:rPr>
        <w:t xml:space="preserve">in order to transit to different UE which can cause more challenges. </w:t>
      </w:r>
      <w:r w:rsidR="00205EC4">
        <w:rPr>
          <w:sz w:val="22"/>
        </w:rPr>
        <w:t xml:space="preserve">It </w:t>
      </w:r>
      <w:r w:rsidR="0015559A">
        <w:rPr>
          <w:sz w:val="22"/>
        </w:rPr>
        <w:t>clearly a</w:t>
      </w:r>
      <w:r w:rsidRPr="00101FEF">
        <w:rPr>
          <w:sz w:val="22"/>
        </w:rPr>
        <w:t>dd</w:t>
      </w:r>
      <w:r w:rsidR="0015559A">
        <w:rPr>
          <w:sz w:val="22"/>
        </w:rPr>
        <w:t>s</w:t>
      </w:r>
      <w:r w:rsidRPr="00101FEF">
        <w:rPr>
          <w:sz w:val="22"/>
        </w:rPr>
        <w:t xml:space="preserve"> UE implementation </w:t>
      </w:r>
      <w:r w:rsidR="004E3A38">
        <w:rPr>
          <w:sz w:val="22"/>
        </w:rPr>
        <w:t xml:space="preserve">complexity and cost, and power consumption. </w:t>
      </w:r>
      <w:r w:rsidR="00241381">
        <w:rPr>
          <w:sz w:val="22"/>
        </w:rPr>
        <w:t xml:space="preserve">Multiple sync sources and potential hidden device due to the lack of sync source </w:t>
      </w:r>
      <w:r w:rsidR="004E3A38">
        <w:rPr>
          <w:sz w:val="22"/>
        </w:rPr>
        <w:t>also r</w:t>
      </w:r>
      <w:r w:rsidRPr="00101FEF">
        <w:rPr>
          <w:sz w:val="22"/>
        </w:rPr>
        <w:t>educe</w:t>
      </w:r>
      <w:r w:rsidR="004E3A38">
        <w:rPr>
          <w:sz w:val="22"/>
        </w:rPr>
        <w:t>s</w:t>
      </w:r>
      <w:r w:rsidRPr="00101FEF">
        <w:rPr>
          <w:sz w:val="22"/>
        </w:rPr>
        <w:t xml:space="preserve"> the reliability of V2X</w:t>
      </w:r>
      <w:r w:rsidR="007F147F">
        <w:rPr>
          <w:sz w:val="22"/>
        </w:rPr>
        <w:t>.</w:t>
      </w:r>
    </w:p>
    <w:p w14:paraId="66D8626D" w14:textId="0844449D" w:rsidR="007F147F" w:rsidRDefault="007F147F" w:rsidP="00101FEF">
      <w:pPr>
        <w:rPr>
          <w:sz w:val="22"/>
        </w:rPr>
      </w:pPr>
    </w:p>
    <w:p w14:paraId="3E08DF27" w14:textId="521A222F" w:rsidR="007F147F" w:rsidRDefault="00C26FB7" w:rsidP="00101FEF">
      <w:pPr>
        <w:rPr>
          <w:sz w:val="22"/>
        </w:rPr>
      </w:pPr>
      <w:r>
        <w:rPr>
          <w:sz w:val="22"/>
        </w:rPr>
        <w:t>In the following section, w</w:t>
      </w:r>
      <w:r w:rsidR="007F147F">
        <w:rPr>
          <w:sz w:val="22"/>
        </w:rPr>
        <w:t>e focus on the potential high level solutions to enhancement the NR V2X synchronization mechanisms</w:t>
      </w:r>
    </w:p>
    <w:p w14:paraId="77DB82DD" w14:textId="3E0994A0" w:rsidR="00410740" w:rsidRDefault="00410740" w:rsidP="00C42720">
      <w:pPr>
        <w:pStyle w:val="Heading1"/>
      </w:pPr>
      <w:r w:rsidRPr="00410740">
        <w:lastRenderedPageBreak/>
        <w:t xml:space="preserve">NR V2X Synchronization </w:t>
      </w:r>
      <w:r w:rsidR="00003C26">
        <w:t>M</w:t>
      </w:r>
      <w:r w:rsidRPr="00410740">
        <w:t xml:space="preserve">echanism </w:t>
      </w:r>
    </w:p>
    <w:p w14:paraId="7F8C84D8" w14:textId="5C48C069" w:rsidR="00C7129C" w:rsidRPr="00A6576F" w:rsidRDefault="00032713" w:rsidP="00032713">
      <w:pPr>
        <w:pStyle w:val="Heading2"/>
      </w:pPr>
      <w:r>
        <w:t>Synchronization relay enhancement</w:t>
      </w:r>
    </w:p>
    <w:p w14:paraId="19989272" w14:textId="7C25BC68" w:rsidR="00032713" w:rsidRDefault="004E29AC" w:rsidP="00032713">
      <w:pPr>
        <w:rPr>
          <w:sz w:val="22"/>
        </w:rPr>
      </w:pPr>
      <w:r>
        <w:rPr>
          <w:sz w:val="22"/>
        </w:rPr>
        <w:t xml:space="preserve">The legacy </w:t>
      </w:r>
      <w:r w:rsidR="00032713" w:rsidRPr="00032713">
        <w:rPr>
          <w:sz w:val="22"/>
        </w:rPr>
        <w:t>design on SLSS transmission triggering conditions includes</w:t>
      </w:r>
      <w:r w:rsidR="004D67DD">
        <w:rPr>
          <w:sz w:val="22"/>
        </w:rPr>
        <w:t xml:space="preserve"> </w:t>
      </w:r>
      <w:r w:rsidR="00445B3C">
        <w:rPr>
          <w:sz w:val="22"/>
        </w:rPr>
        <w:t xml:space="preserve">(1) </w:t>
      </w:r>
      <w:r w:rsidR="004D67DD">
        <w:rPr>
          <w:sz w:val="22"/>
        </w:rPr>
        <w:t>NW</w:t>
      </w:r>
      <w:r w:rsidR="00032713" w:rsidRPr="00032713">
        <w:rPr>
          <w:sz w:val="22"/>
        </w:rPr>
        <w:t xml:space="preserve"> configures an in coverage UE as sync source</w:t>
      </w:r>
      <w:r w:rsidR="00DE719F">
        <w:rPr>
          <w:sz w:val="22"/>
        </w:rPr>
        <w:t xml:space="preserve">. </w:t>
      </w:r>
      <w:r w:rsidR="00445B3C">
        <w:rPr>
          <w:sz w:val="22"/>
        </w:rPr>
        <w:t xml:space="preserve">(2) </w:t>
      </w:r>
      <w:r w:rsidR="00032713" w:rsidRPr="00032713">
        <w:rPr>
          <w:sz w:val="22"/>
        </w:rPr>
        <w:t>An in-coverage UE decides to be sync source if RSRP of the reference cell for V2X &lt; syncTxThreshIC</w:t>
      </w:r>
      <w:r w:rsidR="00445B3C">
        <w:rPr>
          <w:sz w:val="22"/>
        </w:rPr>
        <w:t xml:space="preserve">. (3) </w:t>
      </w:r>
      <w:r w:rsidR="00032713" w:rsidRPr="00032713">
        <w:rPr>
          <w:sz w:val="22"/>
        </w:rPr>
        <w:t>Out of coverage UE decides to be sync source</w:t>
      </w:r>
      <w:r w:rsidR="00445B3C">
        <w:rPr>
          <w:sz w:val="22"/>
        </w:rPr>
        <w:t xml:space="preserve">. (4) </w:t>
      </w:r>
      <w:r w:rsidR="00032713" w:rsidRPr="00032713">
        <w:rPr>
          <w:sz w:val="22"/>
        </w:rPr>
        <w:t>If the UE directly syncs to GNSS (no matter UE is in or out of cellular coverage)</w:t>
      </w:r>
      <w:r w:rsidR="00D37750">
        <w:rPr>
          <w:sz w:val="22"/>
        </w:rPr>
        <w:t>.</w:t>
      </w:r>
    </w:p>
    <w:p w14:paraId="1431E698" w14:textId="77777777" w:rsidR="002A60A7" w:rsidRDefault="002A60A7" w:rsidP="00032713">
      <w:pPr>
        <w:rPr>
          <w:sz w:val="22"/>
        </w:rPr>
      </w:pPr>
    </w:p>
    <w:p w14:paraId="0E95405A" w14:textId="6728F5E6" w:rsidR="00032713" w:rsidRPr="00032713" w:rsidRDefault="00A3199D" w:rsidP="00032713">
      <w:pPr>
        <w:rPr>
          <w:sz w:val="22"/>
        </w:rPr>
      </w:pPr>
      <w:r>
        <w:rPr>
          <w:sz w:val="22"/>
        </w:rPr>
        <w:t>D</w:t>
      </w:r>
      <w:r w:rsidR="00D37750">
        <w:rPr>
          <w:sz w:val="22"/>
        </w:rPr>
        <w:t xml:space="preserve">ue to the high mobility of the vehicle, locations of the device can change very rapidly. </w:t>
      </w:r>
      <w:r w:rsidR="00032713" w:rsidRPr="00032713">
        <w:rPr>
          <w:sz w:val="22"/>
        </w:rPr>
        <w:t xml:space="preserve">When the </w:t>
      </w:r>
      <w:r w:rsidR="00D37750">
        <w:rPr>
          <w:sz w:val="22"/>
        </w:rPr>
        <w:t>sync relay device</w:t>
      </w:r>
      <w:r w:rsidR="00032713" w:rsidRPr="00032713">
        <w:rPr>
          <w:sz w:val="22"/>
        </w:rPr>
        <w:t xml:space="preserve"> (due to low RSRP of the reference cell) comes towards the sync source again, it can decide to stop transmitting the SLSS</w:t>
      </w:r>
      <w:r w:rsidR="0087128F">
        <w:rPr>
          <w:sz w:val="22"/>
        </w:rPr>
        <w:t xml:space="preserve"> as its measured RSRP exceeds the configure threshold</w:t>
      </w:r>
      <w:r w:rsidR="00032713" w:rsidRPr="00032713">
        <w:rPr>
          <w:sz w:val="22"/>
        </w:rPr>
        <w:t>. However, if there are other nodes already associated to it, those nodes will lose sync and likely to choose to be a sync source by itself, which could lead to multiple timings in the same system.</w:t>
      </w:r>
    </w:p>
    <w:p w14:paraId="22622A32" w14:textId="77777777" w:rsidR="002A60A7" w:rsidRDefault="002A60A7" w:rsidP="00032713">
      <w:pPr>
        <w:rPr>
          <w:sz w:val="22"/>
        </w:rPr>
      </w:pPr>
    </w:p>
    <w:p w14:paraId="22C41DCC" w14:textId="2D763D95" w:rsidR="00A908E4" w:rsidRDefault="002A60A7" w:rsidP="00032713">
      <w:pPr>
        <w:rPr>
          <w:sz w:val="22"/>
        </w:rPr>
      </w:pPr>
      <w:r>
        <w:rPr>
          <w:sz w:val="22"/>
        </w:rPr>
        <w:t xml:space="preserve">Solution to </w:t>
      </w:r>
      <w:r w:rsidR="002D1114">
        <w:rPr>
          <w:sz w:val="22"/>
        </w:rPr>
        <w:t>mitigate</w:t>
      </w:r>
      <w:r>
        <w:rPr>
          <w:sz w:val="22"/>
        </w:rPr>
        <w:t xml:space="preserve"> this problem </w:t>
      </w:r>
      <w:r w:rsidR="002D1114">
        <w:rPr>
          <w:sz w:val="22"/>
        </w:rPr>
        <w:t xml:space="preserve">is to allow the sync relay be aware of the devices that relies on it as sync sources. </w:t>
      </w:r>
      <w:r w:rsidR="00F73375">
        <w:rPr>
          <w:sz w:val="22"/>
        </w:rPr>
        <w:t>For example, w</w:t>
      </w:r>
      <w:r w:rsidR="00032713" w:rsidRPr="00032713">
        <w:rPr>
          <w:sz w:val="22"/>
        </w:rPr>
        <w:t>hen sending the SLSS, the sender (sync or relay source) can ask for feedback info</w:t>
      </w:r>
      <w:r w:rsidR="00CE1794">
        <w:rPr>
          <w:sz w:val="22"/>
        </w:rPr>
        <w:t>rmation</w:t>
      </w:r>
      <w:r w:rsidR="00F73375">
        <w:rPr>
          <w:sz w:val="22"/>
        </w:rPr>
        <w:t xml:space="preserve"> to know if there is any device that is relying on him as sync source. The details on the feedback design can be for further study in order to reduce the overhead.</w:t>
      </w:r>
      <w:r w:rsidR="00F73375" w:rsidRPr="00032713">
        <w:rPr>
          <w:sz w:val="22"/>
        </w:rPr>
        <w:t xml:space="preserve"> </w:t>
      </w:r>
      <w:r w:rsidR="00032713" w:rsidRPr="00032713">
        <w:rPr>
          <w:sz w:val="22"/>
        </w:rPr>
        <w:t>With feedback from all associated UEs, the sync/relay resources will be able to tell whether it has associated UEs</w:t>
      </w:r>
      <w:r w:rsidR="00A908E4">
        <w:rPr>
          <w:sz w:val="22"/>
        </w:rPr>
        <w:t xml:space="preserve">. </w:t>
      </w:r>
      <w:r w:rsidR="00032713" w:rsidRPr="00032713">
        <w:rPr>
          <w:sz w:val="22"/>
        </w:rPr>
        <w:t xml:space="preserve">A relay source will not go back to slave mode if it has associated UEs </w:t>
      </w:r>
      <w:r w:rsidR="00A908E4">
        <w:rPr>
          <w:sz w:val="22"/>
        </w:rPr>
        <w:t xml:space="preserve">in order </w:t>
      </w:r>
      <w:r w:rsidR="00032713" w:rsidRPr="00032713">
        <w:rPr>
          <w:sz w:val="22"/>
        </w:rPr>
        <w:t>to guarantee the same timing is maintained for the system</w:t>
      </w:r>
      <w:r w:rsidR="00A908E4">
        <w:rPr>
          <w:sz w:val="22"/>
        </w:rPr>
        <w:t>.</w:t>
      </w:r>
    </w:p>
    <w:p w14:paraId="16518088" w14:textId="77777777" w:rsidR="00A908E4" w:rsidRDefault="00A908E4" w:rsidP="00A908E4">
      <w:pPr>
        <w:rPr>
          <w:rFonts w:eastAsia="SimSun"/>
          <w:b/>
          <w:bCs/>
          <w:i/>
          <w:sz w:val="22"/>
          <w:szCs w:val="22"/>
          <w:u w:val="single"/>
        </w:rPr>
      </w:pPr>
    </w:p>
    <w:p w14:paraId="3808FF42" w14:textId="609529A8" w:rsidR="00A908E4" w:rsidRDefault="00A908E4" w:rsidP="00A908E4">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w:t>
      </w:r>
      <w:r w:rsidR="003F084A">
        <w:rPr>
          <w:rFonts w:eastAsia="SimSun"/>
          <w:b/>
          <w:i/>
          <w:sz w:val="22"/>
          <w:szCs w:val="22"/>
        </w:rPr>
        <w:t xml:space="preserve"> </w:t>
      </w:r>
      <w:r w:rsidR="0093229D">
        <w:rPr>
          <w:rFonts w:eastAsia="SimSun"/>
          <w:b/>
          <w:i/>
          <w:sz w:val="22"/>
          <w:szCs w:val="22"/>
        </w:rPr>
        <w:t>indicating the need for the sync (relay) sources.</w:t>
      </w:r>
    </w:p>
    <w:p w14:paraId="56AE2784" w14:textId="77777777" w:rsidR="00B64A8A" w:rsidRDefault="00B64A8A" w:rsidP="00B64A8A">
      <w:pPr>
        <w:pStyle w:val="Heading2"/>
      </w:pPr>
      <w:r>
        <w:t>Synchronization source consolidation</w:t>
      </w:r>
    </w:p>
    <w:p w14:paraId="592C2C1B" w14:textId="0040ABD0" w:rsidR="00703F39" w:rsidRDefault="00703F39" w:rsidP="00703F39">
      <w:pPr>
        <w:rPr>
          <w:sz w:val="22"/>
        </w:rPr>
      </w:pPr>
      <w:r>
        <w:rPr>
          <w:sz w:val="22"/>
        </w:rPr>
        <w:t>As we discussed before, it is desirable to maintain as small number of source group</w:t>
      </w:r>
      <w:r w:rsidR="00860FCF">
        <w:rPr>
          <w:sz w:val="22"/>
        </w:rPr>
        <w:t>s</w:t>
      </w:r>
      <w:r>
        <w:rPr>
          <w:sz w:val="22"/>
        </w:rPr>
        <w:t xml:space="preserve">/sources as possible in </w:t>
      </w:r>
      <w:r w:rsidR="00860FCF">
        <w:rPr>
          <w:sz w:val="22"/>
        </w:rPr>
        <w:t>actual V2X deployment</w:t>
      </w:r>
      <w:r>
        <w:rPr>
          <w:sz w:val="22"/>
        </w:rPr>
        <w:t xml:space="preserve"> in order to ensure reliable communication. As results, it is useful to consider the support of sync source consolidation. </w:t>
      </w:r>
    </w:p>
    <w:p w14:paraId="7F9770D2" w14:textId="77777777" w:rsidR="00B71FA7" w:rsidRDefault="00B71FA7" w:rsidP="00703F39">
      <w:pPr>
        <w:rPr>
          <w:sz w:val="22"/>
        </w:rPr>
      </w:pPr>
    </w:p>
    <w:p w14:paraId="687FBC76" w14:textId="77777777" w:rsidR="00D15EDE" w:rsidRDefault="00B71FA7" w:rsidP="00D15EDE">
      <w:pPr>
        <w:rPr>
          <w:sz w:val="22"/>
        </w:rPr>
      </w:pPr>
      <w:r>
        <w:rPr>
          <w:sz w:val="22"/>
        </w:rPr>
        <w:t>For example, i</w:t>
      </w:r>
      <w:r w:rsidR="00703F39" w:rsidRPr="00703F39">
        <w:rPr>
          <w:sz w:val="22"/>
        </w:rPr>
        <w:t xml:space="preserve">f a sync source detects another sync source (multiple source moving closer), they should merge to single source based on </w:t>
      </w:r>
      <w:r w:rsidR="00E2297B">
        <w:rPr>
          <w:sz w:val="22"/>
        </w:rPr>
        <w:t xml:space="preserve">certain criterion such as priority. </w:t>
      </w:r>
      <w:r w:rsidR="00703F39" w:rsidRPr="00703F39">
        <w:rPr>
          <w:sz w:val="22"/>
        </w:rPr>
        <w:t>The lower priority sync source should relay the sync signal from the higher priority source.</w:t>
      </w:r>
      <w:r w:rsidR="009825D7">
        <w:rPr>
          <w:sz w:val="22"/>
        </w:rPr>
        <w:t xml:space="preserve"> </w:t>
      </w:r>
      <w:r w:rsidR="00703F39" w:rsidRPr="00703F39">
        <w:rPr>
          <w:sz w:val="22"/>
        </w:rPr>
        <w:t>If a slave UE detects multiple sync sources, it can optionally relay the highest priority source, in order to let the lower priority part detects the sync signal and merge eventually</w:t>
      </w:r>
      <w:r w:rsidR="00D15EDE">
        <w:rPr>
          <w:sz w:val="22"/>
        </w:rPr>
        <w:t>. Figure 2 illustrates the concept</w:t>
      </w:r>
    </w:p>
    <w:p w14:paraId="076DE532" w14:textId="77777777" w:rsidR="00D15EDE" w:rsidRDefault="00D15EDE" w:rsidP="00D15EDE">
      <w:pPr>
        <w:rPr>
          <w:sz w:val="22"/>
        </w:rPr>
      </w:pPr>
    </w:p>
    <w:p w14:paraId="471491B6" w14:textId="54F940A9" w:rsidR="000F7E37" w:rsidRDefault="00630E01" w:rsidP="000F7E37">
      <w:pPr>
        <w:keepNext/>
      </w:pPr>
      <w:r w:rsidRPr="00630E01">
        <w:rPr>
          <w:noProof/>
        </w:rPr>
        <w:drawing>
          <wp:inline distT="0" distB="0" distL="0" distR="0" wp14:anchorId="79326DAE" wp14:editId="467676BB">
            <wp:extent cx="6120765" cy="18548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54835"/>
                    </a:xfrm>
                    <a:prstGeom prst="rect">
                      <a:avLst/>
                    </a:prstGeom>
                  </pic:spPr>
                </pic:pic>
              </a:graphicData>
            </a:graphic>
          </wp:inline>
        </w:drawing>
      </w:r>
    </w:p>
    <w:p w14:paraId="41A82FEF" w14:textId="5354A1AA" w:rsidR="00D15EDE" w:rsidRDefault="000F7E37" w:rsidP="000F7E37">
      <w:pPr>
        <w:pStyle w:val="Caption"/>
        <w:rPr>
          <w:sz w:val="22"/>
        </w:rPr>
      </w:pPr>
      <w:r w:rsidRPr="000F7E37">
        <w:rPr>
          <w:sz w:val="22"/>
        </w:rPr>
        <w:t xml:space="preserve">Figure </w:t>
      </w:r>
      <w:r w:rsidRPr="000F7E37">
        <w:rPr>
          <w:sz w:val="22"/>
        </w:rPr>
        <w:fldChar w:fldCharType="begin"/>
      </w:r>
      <w:r w:rsidRPr="000F7E37">
        <w:rPr>
          <w:sz w:val="22"/>
        </w:rPr>
        <w:instrText xml:space="preserve"> SEQ Figure \* ARABIC </w:instrText>
      </w:r>
      <w:r w:rsidRPr="000F7E37">
        <w:rPr>
          <w:sz w:val="22"/>
        </w:rPr>
        <w:fldChar w:fldCharType="separate"/>
      </w:r>
      <w:r w:rsidRPr="000F7E37">
        <w:rPr>
          <w:noProof/>
          <w:sz w:val="22"/>
        </w:rPr>
        <w:t>2</w:t>
      </w:r>
      <w:r w:rsidRPr="000F7E37">
        <w:rPr>
          <w:sz w:val="22"/>
        </w:rPr>
        <w:fldChar w:fldCharType="end"/>
      </w:r>
      <w:r>
        <w:rPr>
          <w:sz w:val="22"/>
        </w:rPr>
        <w:t xml:space="preserve"> synchronization sources consolidation</w:t>
      </w:r>
    </w:p>
    <w:p w14:paraId="3FE87170" w14:textId="77777777" w:rsidR="000F7E37" w:rsidRPr="000F7E37" w:rsidRDefault="000F7E37" w:rsidP="000F7E37"/>
    <w:p w14:paraId="6C43B7BE" w14:textId="77777777" w:rsidR="00D15EDE" w:rsidRDefault="00D15EDE" w:rsidP="00D15EDE">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896E657" w14:textId="2DF29AD0" w:rsidR="00854A60" w:rsidRPr="00A6576F" w:rsidRDefault="009C5A97" w:rsidP="00FB330B">
      <w:pPr>
        <w:pStyle w:val="Heading1"/>
      </w:pPr>
      <w:r w:rsidRPr="00A6576F">
        <w:lastRenderedPageBreak/>
        <w:t>Conclusion</w:t>
      </w:r>
    </w:p>
    <w:p w14:paraId="56311B75" w14:textId="54820AC6"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DF556C">
        <w:rPr>
          <w:rFonts w:eastAsia="MS Mincho"/>
          <w:sz w:val="22"/>
          <w:szCs w:val="22"/>
          <w:lang w:eastAsia="ja-JP"/>
        </w:rPr>
        <w:t xml:space="preserve">Synchronization design is a very challenging topic especially for sidelink. </w:t>
      </w:r>
      <w:r w:rsidRPr="00A6576F">
        <w:rPr>
          <w:rFonts w:eastAsia="MS Mincho"/>
          <w:sz w:val="22"/>
          <w:szCs w:val="22"/>
          <w:lang w:eastAsia="ja-JP"/>
        </w:rPr>
        <w:t xml:space="preserve">In this contribution, </w:t>
      </w:r>
      <w:r w:rsidR="00DF556C">
        <w:rPr>
          <w:rFonts w:eastAsia="MS Mincho"/>
          <w:sz w:val="22"/>
          <w:szCs w:val="22"/>
          <w:lang w:eastAsia="ja-JP"/>
        </w:rPr>
        <w:t xml:space="preserve">we focus on the </w:t>
      </w:r>
      <w:r w:rsidR="00B744FE">
        <w:rPr>
          <w:rFonts w:eastAsia="MS Mincho"/>
          <w:sz w:val="22"/>
          <w:szCs w:val="22"/>
          <w:lang w:eastAsia="ja-JP"/>
        </w:rPr>
        <w:t>synchronization</w:t>
      </w:r>
      <w:r w:rsidR="00DF556C">
        <w:rPr>
          <w:rFonts w:eastAsia="MS Mincho"/>
          <w:sz w:val="22"/>
          <w:szCs w:val="22"/>
          <w:lang w:eastAsia="ja-JP"/>
        </w:rPr>
        <w:t xml:space="preserve"> schemes to reduce the device complexity and power consumption </w:t>
      </w:r>
      <w:r w:rsidR="00B744FE">
        <w:rPr>
          <w:rFonts w:eastAsia="MS Mincho"/>
          <w:sz w:val="22"/>
          <w:szCs w:val="22"/>
          <w:lang w:eastAsia="ja-JP"/>
        </w:rPr>
        <w:t>and improve the reliability</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3655167E" w14:textId="34202DB8" w:rsidR="00E34DF1" w:rsidRDefault="00E34DF1" w:rsidP="00E34DF1">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 indicating the need for the sync (relay) sources.</w:t>
      </w:r>
    </w:p>
    <w:p w14:paraId="5186C1B6" w14:textId="39C2431A" w:rsidR="00E34DF1" w:rsidRDefault="00E34DF1" w:rsidP="00E34DF1">
      <w:pPr>
        <w:rPr>
          <w:rFonts w:eastAsia="SimSun"/>
          <w:b/>
          <w:i/>
          <w:sz w:val="22"/>
          <w:szCs w:val="22"/>
        </w:rPr>
      </w:pPr>
    </w:p>
    <w:p w14:paraId="2CB03546" w14:textId="77777777" w:rsidR="00E34DF1" w:rsidRDefault="00E34DF1" w:rsidP="00E34DF1">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E75F001" w14:textId="77777777" w:rsidR="007E70BB" w:rsidRPr="00A6576F" w:rsidRDefault="005C63AE" w:rsidP="007E70BB">
      <w:pPr>
        <w:pStyle w:val="Heading1"/>
      </w:pPr>
      <w:r w:rsidRPr="00A6576F">
        <w:t>References</w:t>
      </w:r>
    </w:p>
    <w:p w14:paraId="6B9D552A" w14:textId="5F8D3D64" w:rsidR="00353F14" w:rsidRPr="00353F14" w:rsidRDefault="00353F14" w:rsidP="00353F14">
      <w:pPr>
        <w:numPr>
          <w:ilvl w:val="0"/>
          <w:numId w:val="10"/>
        </w:numPr>
        <w:tabs>
          <w:tab w:val="clear" w:pos="657"/>
        </w:tabs>
        <w:overflowPunct w:val="0"/>
        <w:autoSpaceDE w:val="0"/>
        <w:autoSpaceDN w:val="0"/>
        <w:adjustRightInd w:val="0"/>
        <w:spacing w:before="100" w:beforeAutospacing="1" w:after="100" w:afterAutospacing="1"/>
        <w:ind w:left="567"/>
        <w:textAlignment w:val="baseline"/>
        <w:rPr>
          <w:sz w:val="22"/>
          <w:szCs w:val="22"/>
        </w:rPr>
      </w:pPr>
      <w:bookmarkStart w:id="1" w:name="_Ref485064906"/>
      <w:r w:rsidRPr="00353F14">
        <w:rPr>
          <w:sz w:val="22"/>
          <w:szCs w:val="22"/>
        </w:rPr>
        <w:t>RP-190766</w:t>
      </w:r>
      <w:r>
        <w:rPr>
          <w:sz w:val="22"/>
          <w:szCs w:val="22"/>
        </w:rPr>
        <w:t>, “</w:t>
      </w:r>
      <w:r w:rsidRPr="00353F14">
        <w:rPr>
          <w:sz w:val="22"/>
          <w:szCs w:val="22"/>
        </w:rPr>
        <w:t xml:space="preserve">New WID on 5G V2X with NR sidelink </w:t>
      </w:r>
      <w:r>
        <w:rPr>
          <w:sz w:val="22"/>
          <w:szCs w:val="22"/>
        </w:rPr>
        <w:t xml:space="preserve">“, </w:t>
      </w:r>
      <w:r w:rsidRPr="00353F14">
        <w:rPr>
          <w:sz w:val="22"/>
          <w:szCs w:val="22"/>
        </w:rPr>
        <w:t>3GPP TSG RAN Meeting #83</w:t>
      </w:r>
      <w:r>
        <w:rPr>
          <w:sz w:val="22"/>
          <w:szCs w:val="22"/>
        </w:rPr>
        <w:t xml:space="preserve">, </w:t>
      </w:r>
      <w:r w:rsidRPr="00353F14">
        <w:rPr>
          <w:sz w:val="22"/>
          <w:szCs w:val="22"/>
        </w:rPr>
        <w:t>Shenzhen, China, March 18-21, 2019</w:t>
      </w:r>
      <w:r w:rsidRPr="00353F14">
        <w:rPr>
          <w:sz w:val="22"/>
          <w:szCs w:val="22"/>
        </w:rPr>
        <w:tab/>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77A01A7C" w14:textId="75744711" w:rsidR="0071184B" w:rsidRDefault="0071184B" w:rsidP="0071184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00C07DEA">
        <w:rPr>
          <w:sz w:val="22"/>
          <w:szCs w:val="22"/>
        </w:rPr>
        <w:t xml:space="preserve">, </w:t>
      </w:r>
      <w:r w:rsidRPr="00F64177">
        <w:rPr>
          <w:sz w:val="22"/>
          <w:szCs w:val="22"/>
        </w:rPr>
        <w:t>Chengdu, China, October 8th – 12th, 2018</w:t>
      </w:r>
    </w:p>
    <w:p w14:paraId="08D7458D" w14:textId="6E55E1E1" w:rsidR="003C4E36" w:rsidRPr="0059349F" w:rsidRDefault="003C4E36" w:rsidP="0059349F">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09540713" w14:textId="77777777" w:rsidR="0071184B" w:rsidRPr="00A6576F" w:rsidRDefault="0071184B" w:rsidP="0071184B">
      <w:pPr>
        <w:overflowPunct w:val="0"/>
        <w:autoSpaceDE w:val="0"/>
        <w:autoSpaceDN w:val="0"/>
        <w:adjustRightInd w:val="0"/>
        <w:spacing w:before="100" w:beforeAutospacing="1" w:after="100" w:afterAutospacing="1"/>
        <w:ind w:left="562"/>
        <w:textAlignment w:val="baseline"/>
        <w:rPr>
          <w:sz w:val="22"/>
          <w:szCs w:val="22"/>
        </w:rPr>
      </w:pP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8E501" w14:textId="77777777" w:rsidR="00BA18A3" w:rsidRDefault="00BA18A3">
      <w:r>
        <w:separator/>
      </w:r>
    </w:p>
  </w:endnote>
  <w:endnote w:type="continuationSeparator" w:id="0">
    <w:p w14:paraId="48405090" w14:textId="77777777" w:rsidR="00BA18A3" w:rsidRDefault="00BA18A3">
      <w:r>
        <w:continuationSeparator/>
      </w:r>
    </w:p>
  </w:endnote>
  <w:endnote w:type="continuationNotice" w:id="1">
    <w:p w14:paraId="7840D24B" w14:textId="77777777" w:rsidR="00BA18A3" w:rsidRDefault="00BA1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39437" w14:textId="77777777" w:rsidR="00BA18A3" w:rsidRDefault="00BA18A3">
      <w:r>
        <w:separator/>
      </w:r>
    </w:p>
  </w:footnote>
  <w:footnote w:type="continuationSeparator" w:id="0">
    <w:p w14:paraId="44611735" w14:textId="77777777" w:rsidR="00BA18A3" w:rsidRDefault="00BA18A3">
      <w:r>
        <w:continuationSeparator/>
      </w:r>
    </w:p>
  </w:footnote>
  <w:footnote w:type="continuationNotice" w:id="1">
    <w:p w14:paraId="0EAE5BA1" w14:textId="77777777" w:rsidR="00BA18A3" w:rsidRDefault="00BA18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2"/>
  </w:num>
  <w:num w:numId="3">
    <w:abstractNumId w:val="7"/>
  </w:num>
  <w:num w:numId="4">
    <w:abstractNumId w:val="8"/>
  </w:num>
  <w:num w:numId="5">
    <w:abstractNumId w:val="3"/>
  </w:num>
  <w:num w:numId="6">
    <w:abstractNumId w:val="10"/>
  </w:num>
  <w:num w:numId="7">
    <w:abstractNumId w:val="15"/>
  </w:num>
  <w:num w:numId="8">
    <w:abstractNumId w:val="4"/>
  </w:num>
  <w:num w:numId="9">
    <w:abstractNumId w:val="14"/>
  </w:num>
  <w:num w:numId="10">
    <w:abstractNumId w:val="0"/>
  </w:num>
  <w:num w:numId="11">
    <w:abstractNumId w:val="16"/>
  </w:num>
  <w:num w:numId="12">
    <w:abstractNumId w:val="11"/>
  </w:num>
  <w:num w:numId="13">
    <w:abstractNumId w:val="9"/>
  </w:num>
  <w:num w:numId="14">
    <w:abstractNumId w:val="1"/>
  </w:num>
  <w:num w:numId="15">
    <w:abstractNumId w:val="17"/>
  </w:num>
  <w:num w:numId="16">
    <w:abstractNumId w:val="5"/>
  </w:num>
  <w:num w:numId="17">
    <w:abstractNumId w:val="13"/>
  </w:num>
  <w:num w:numId="18">
    <w:abstractNumId w:val="6"/>
  </w:num>
  <w:num w:numId="1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3CFF"/>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52"/>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AF5"/>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5C0D"/>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0C90"/>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B7B"/>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14"/>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E36"/>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516"/>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3D3"/>
    <w:rsid w:val="005234D8"/>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2A12"/>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D30"/>
    <w:rsid w:val="00591ADF"/>
    <w:rsid w:val="00591C56"/>
    <w:rsid w:val="00591D01"/>
    <w:rsid w:val="00591F85"/>
    <w:rsid w:val="0059346F"/>
    <w:rsid w:val="0059349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0A8"/>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C84"/>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5B1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2EB"/>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A05"/>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104"/>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36A"/>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72F"/>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6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8A3"/>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0C"/>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8B3"/>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07DE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4B73"/>
    <w:rsid w:val="00C35447"/>
    <w:rsid w:val="00C35564"/>
    <w:rsid w:val="00C35AA0"/>
    <w:rsid w:val="00C35CCF"/>
    <w:rsid w:val="00C3719D"/>
    <w:rsid w:val="00C3756F"/>
    <w:rsid w:val="00C377C8"/>
    <w:rsid w:val="00C37D69"/>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14A8"/>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29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591"/>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3589"/>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77C"/>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068"/>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39CC"/>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40"/>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31264-B121-8B41-B921-4B12D43D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809</TotalTime>
  <Pages>4</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1090</cp:revision>
  <cp:lastPrinted>2008-01-31T16:09:00Z</cp:lastPrinted>
  <dcterms:created xsi:type="dcterms:W3CDTF">2017-09-28T15:58:00Z</dcterms:created>
  <dcterms:modified xsi:type="dcterms:W3CDTF">2019-03-29T20:30:00Z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